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4E73" w14:textId="77777777" w:rsidR="00B81F7C" w:rsidRDefault="0096292F">
      <w:pPr>
        <w:pStyle w:val="BodyText"/>
        <w:spacing w:before="84"/>
        <w:ind w:left="100"/>
      </w:pPr>
      <w:r>
        <w:rPr>
          <w:color w:val="FF40FF"/>
        </w:rPr>
        <w:t>[Office letterhead]</w:t>
      </w:r>
    </w:p>
    <w:p w14:paraId="0FEE7536" w14:textId="77777777" w:rsidR="00B81F7C" w:rsidRDefault="00B81F7C">
      <w:pPr>
        <w:pStyle w:val="BodyText"/>
        <w:spacing w:before="8"/>
        <w:rPr>
          <w:sz w:val="17"/>
        </w:rPr>
      </w:pPr>
    </w:p>
    <w:p w14:paraId="4A134D84" w14:textId="77777777" w:rsidR="00B81F7C" w:rsidRDefault="00B81F7C">
      <w:pPr>
        <w:rPr>
          <w:sz w:val="17"/>
        </w:rPr>
        <w:sectPr w:rsidR="00B81F7C">
          <w:footerReference w:type="default" r:id="rId10"/>
          <w:type w:val="continuous"/>
          <w:pgSz w:w="12240" w:h="15840"/>
          <w:pgMar w:top="1360" w:right="1340" w:bottom="1000" w:left="1340" w:header="720" w:footer="811" w:gutter="0"/>
          <w:pgNumType w:start="1"/>
          <w:cols w:space="720"/>
        </w:sectPr>
      </w:pPr>
    </w:p>
    <w:p w14:paraId="29E2C7A9" w14:textId="77777777" w:rsidR="00725B58" w:rsidRDefault="00725B58" w:rsidP="00725B58">
      <w:pPr>
        <w:pStyle w:val="BodyText"/>
        <w:spacing w:before="95"/>
        <w:ind w:left="100"/>
      </w:pPr>
      <w:r>
        <w:rPr>
          <w:color w:val="FF40FF"/>
        </w:rPr>
        <w:t>[Date]</w:t>
      </w:r>
    </w:p>
    <w:p w14:paraId="7C125B02" w14:textId="77777777" w:rsidR="00725B58" w:rsidRDefault="00725B58" w:rsidP="00725B58">
      <w:pPr>
        <w:pStyle w:val="BodyText"/>
        <w:spacing w:before="34" w:line="276" w:lineRule="auto"/>
        <w:ind w:left="100" w:right="1921"/>
      </w:pPr>
      <w:r>
        <w:rPr>
          <w:color w:val="FF40FF"/>
        </w:rPr>
        <w:t>[Contact name] [Contact title]</w:t>
      </w:r>
    </w:p>
    <w:p w14:paraId="673A59E7" w14:textId="77777777" w:rsidR="00725B58" w:rsidRDefault="00725B58" w:rsidP="00725B58">
      <w:pPr>
        <w:pStyle w:val="BodyText"/>
        <w:spacing w:line="280" w:lineRule="auto"/>
        <w:ind w:left="100" w:right="20"/>
      </w:pPr>
      <w:r>
        <w:rPr>
          <w:color w:val="FF40FF"/>
        </w:rPr>
        <w:t>[Name of health insurance company] [Address]</w:t>
      </w:r>
    </w:p>
    <w:p w14:paraId="4497EEA0" w14:textId="77777777" w:rsidR="00725B58" w:rsidRDefault="00725B58" w:rsidP="00725B58">
      <w:pPr>
        <w:spacing w:before="95"/>
        <w:ind w:left="100"/>
        <w:rPr>
          <w:sz w:val="20"/>
        </w:rPr>
      </w:pPr>
      <w:r>
        <w:br w:type="column"/>
      </w:r>
      <w:r>
        <w:rPr>
          <w:sz w:val="20"/>
        </w:rPr>
        <w:t>Re:</w:t>
      </w:r>
    </w:p>
    <w:p w14:paraId="13AA45B2" w14:textId="00E1357A" w:rsidR="00725B58" w:rsidRPr="00725B58" w:rsidRDefault="00725B58" w:rsidP="00725B58">
      <w:pPr>
        <w:pStyle w:val="BodyText"/>
        <w:spacing w:before="34" w:line="276" w:lineRule="auto"/>
        <w:ind w:left="100" w:right="86"/>
        <w:rPr>
          <w:color w:val="000000" w:themeColor="text1"/>
        </w:rPr>
      </w:pPr>
      <w:r w:rsidRPr="00725B58">
        <w:rPr>
          <w:color w:val="000000" w:themeColor="text1"/>
        </w:rPr>
        <w:t xml:space="preserve">Letter of Medical Necessity for </w:t>
      </w:r>
      <w:r w:rsidR="00265BB5" w:rsidRPr="00431450">
        <w:rPr>
          <w:color w:val="FF40FF"/>
        </w:rPr>
        <w:t>[</w:t>
      </w:r>
      <w:r w:rsidRPr="00431450">
        <w:rPr>
          <w:color w:val="FF40FF"/>
        </w:rPr>
        <w:t>PROCYSBI</w:t>
      </w:r>
      <w:r w:rsidRPr="00431450">
        <w:rPr>
          <w:color w:val="FF40FF"/>
          <w:vertAlign w:val="superscript"/>
        </w:rPr>
        <w:t>®</w:t>
      </w:r>
      <w:r w:rsidRPr="00431450">
        <w:rPr>
          <w:color w:val="FF40FF"/>
        </w:rPr>
        <w:t xml:space="preserve"> (cysteamine bitartrate) delayed-release capsules and delayed-release oral granules</w:t>
      </w:r>
      <w:r w:rsidR="00265BB5" w:rsidRPr="00431450">
        <w:rPr>
          <w:color w:val="FF40FF"/>
        </w:rPr>
        <w:t>]</w:t>
      </w:r>
    </w:p>
    <w:p w14:paraId="064081C7" w14:textId="67A7DDBE" w:rsidR="00725B58" w:rsidRDefault="00725B58" w:rsidP="00725B58">
      <w:pPr>
        <w:pStyle w:val="BodyText"/>
        <w:spacing w:before="3" w:line="276" w:lineRule="auto"/>
        <w:ind w:left="100" w:right="1554"/>
      </w:pPr>
      <w:r>
        <w:t xml:space="preserve">Patient: </w:t>
      </w:r>
      <w:r>
        <w:rPr>
          <w:color w:val="FF40FF"/>
        </w:rPr>
        <w:t>[</w:t>
      </w:r>
      <w:r w:rsidR="00A96D99">
        <w:rPr>
          <w:color w:val="FF40FF"/>
        </w:rPr>
        <w:t>PATIENT NAME</w:t>
      </w:r>
      <w:r>
        <w:rPr>
          <w:color w:val="FF40FF"/>
        </w:rPr>
        <w:t xml:space="preserve">] </w:t>
      </w:r>
      <w:r>
        <w:t xml:space="preserve">Group/Policy Number: </w:t>
      </w:r>
      <w:r>
        <w:rPr>
          <w:color w:val="FF40FF"/>
        </w:rPr>
        <w:t>[Number]</w:t>
      </w:r>
    </w:p>
    <w:p w14:paraId="10E0C9DF" w14:textId="3EB58CF9" w:rsidR="00725B58" w:rsidRDefault="00725B58" w:rsidP="005179FB">
      <w:pPr>
        <w:pStyle w:val="BodyText"/>
        <w:spacing w:line="229" w:lineRule="exact"/>
        <w:ind w:left="100"/>
        <w:sectPr w:rsidR="00725B58">
          <w:type w:val="continuous"/>
          <w:pgSz w:w="12240" w:h="15840"/>
          <w:pgMar w:top="1360" w:right="1340" w:bottom="1000" w:left="1340" w:header="720" w:footer="720" w:gutter="0"/>
          <w:cols w:num="2" w:space="720" w:equalWidth="0">
            <w:col w:w="3398" w:space="1642"/>
            <w:col w:w="4520"/>
          </w:cols>
        </w:sectPr>
      </w:pPr>
      <w:r>
        <w:t xml:space="preserve">Diagnosis: </w:t>
      </w:r>
      <w:r>
        <w:rPr>
          <w:color w:val="FF40FF"/>
        </w:rPr>
        <w:t>[ICD code and description]</w:t>
      </w:r>
    </w:p>
    <w:p w14:paraId="5FA469AF" w14:textId="77777777" w:rsidR="00B81F7C" w:rsidRDefault="00B81F7C">
      <w:pPr>
        <w:pStyle w:val="BodyText"/>
        <w:spacing w:before="7"/>
      </w:pPr>
    </w:p>
    <w:p w14:paraId="41774407" w14:textId="77777777" w:rsidR="00B81F7C" w:rsidRDefault="0096292F">
      <w:pPr>
        <w:pStyle w:val="BodyText"/>
        <w:spacing w:before="95"/>
        <w:ind w:left="100"/>
      </w:pPr>
      <w:r>
        <w:t xml:space="preserve">Dear </w:t>
      </w:r>
      <w:r>
        <w:rPr>
          <w:color w:val="FF40FF"/>
        </w:rPr>
        <w:t>[Insert contact name or department]</w:t>
      </w:r>
      <w:r>
        <w:t>,</w:t>
      </w:r>
    </w:p>
    <w:p w14:paraId="17799823" w14:textId="77777777" w:rsidR="00B81F7C" w:rsidRDefault="00B81F7C">
      <w:pPr>
        <w:pStyle w:val="BodyText"/>
        <w:spacing w:before="6"/>
        <w:rPr>
          <w:sz w:val="25"/>
        </w:rPr>
      </w:pPr>
    </w:p>
    <w:p w14:paraId="3826B51A" w14:textId="54C9B6D9" w:rsidR="00B81F7C" w:rsidRPr="0056282B" w:rsidRDefault="0096292F" w:rsidP="0056282B">
      <w:pPr>
        <w:pStyle w:val="BodyText"/>
        <w:spacing w:line="276" w:lineRule="auto"/>
        <w:ind w:left="100" w:right="191"/>
      </w:pPr>
      <w:r>
        <w:t xml:space="preserve">I am writing on behalf of my patient, </w:t>
      </w:r>
      <w:r>
        <w:rPr>
          <w:color w:val="FF40FF"/>
        </w:rPr>
        <w:t>[PATIENT NAME]</w:t>
      </w:r>
      <w:r>
        <w:t xml:space="preserve">, to document medical necessity for treatment with </w:t>
      </w:r>
      <w:r w:rsidRPr="0056282B">
        <w:rPr>
          <w:color w:val="000000" w:themeColor="text1"/>
        </w:rPr>
        <w:t>PROCYSBI</w:t>
      </w:r>
      <w:r w:rsidRPr="0056282B">
        <w:rPr>
          <w:color w:val="000000" w:themeColor="text1"/>
          <w:vertAlign w:val="superscript"/>
        </w:rPr>
        <w:t>®</w:t>
      </w:r>
      <w:r w:rsidRPr="0056282B">
        <w:rPr>
          <w:color w:val="000000" w:themeColor="text1"/>
        </w:rPr>
        <w:t xml:space="preserve"> (cysteamine bitartrate) delayed-release capsules and delayed-release oral granules</w:t>
      </w:r>
      <w:r w:rsidRPr="00725B58">
        <w:rPr>
          <w:color w:val="000000" w:themeColor="text1"/>
        </w:rPr>
        <w:t>.</w:t>
      </w:r>
      <w:r w:rsidR="0056282B">
        <w:t xml:space="preserve"> </w:t>
      </w:r>
      <w:r>
        <w:t>PROCYSBI is a cystine-depleting agent indicated for the treatment of nephropathic cystinosis in adults and pediatric patients 1 year of age and older. PROCYSBI is contraindicated in patients with serious hypersensitivity reaction, including anaphylaxis to penicillamine or cysteamine</w:t>
      </w:r>
      <w:r>
        <w:rPr>
          <w:sz w:val="22"/>
        </w:rPr>
        <w:t>.</w:t>
      </w:r>
    </w:p>
    <w:p w14:paraId="3FFE696E" w14:textId="77777777" w:rsidR="00B81F7C" w:rsidRDefault="00B81F7C">
      <w:pPr>
        <w:pStyle w:val="BodyText"/>
        <w:spacing w:before="8"/>
        <w:rPr>
          <w:sz w:val="22"/>
        </w:rPr>
      </w:pPr>
    </w:p>
    <w:p w14:paraId="1E1F89A3" w14:textId="77777777" w:rsidR="00B81F7C" w:rsidRDefault="0096292F">
      <w:pPr>
        <w:pStyle w:val="BodyText"/>
        <w:spacing w:line="278" w:lineRule="auto"/>
        <w:ind w:left="100" w:right="80"/>
      </w:pPr>
      <w:r>
        <w:t xml:space="preserve">This letter serves to document that </w:t>
      </w:r>
      <w:r>
        <w:rPr>
          <w:color w:val="FF40FF"/>
        </w:rPr>
        <w:t xml:space="preserve">[PATIENT NAME] </w:t>
      </w:r>
      <w:r>
        <w:t xml:space="preserve">needs PROCYSBI and that PROCYSBI is medically necessary for </w:t>
      </w:r>
      <w:r>
        <w:rPr>
          <w:color w:val="FF40FF"/>
        </w:rPr>
        <w:t xml:space="preserve">[HIM/HER] </w:t>
      </w:r>
      <w:r>
        <w:t>as prescribed. On behalf of the patient, I am requesting prior authorization approval for use.</w:t>
      </w:r>
    </w:p>
    <w:p w14:paraId="3AF0028A" w14:textId="77777777" w:rsidR="00B81F7C" w:rsidRDefault="00B81F7C">
      <w:pPr>
        <w:pStyle w:val="BodyText"/>
        <w:spacing w:before="8"/>
        <w:rPr>
          <w:sz w:val="22"/>
        </w:rPr>
      </w:pPr>
    </w:p>
    <w:p w14:paraId="249E372F" w14:textId="77777777" w:rsidR="00B81F7C" w:rsidRDefault="0096292F">
      <w:pPr>
        <w:pStyle w:val="Heading1"/>
      </w:pPr>
      <w:r>
        <w:t>Medical History and Diagnosis</w:t>
      </w:r>
    </w:p>
    <w:p w14:paraId="64B7D1C0" w14:textId="32C6D73F" w:rsidR="00B81F7C" w:rsidRDefault="0096292F">
      <w:pPr>
        <w:pStyle w:val="BodyText"/>
        <w:spacing w:before="34" w:line="276" w:lineRule="auto"/>
        <w:ind w:left="100" w:right="258"/>
      </w:pPr>
      <w:r>
        <w:rPr>
          <w:color w:val="FF40FF"/>
        </w:rPr>
        <w:t xml:space="preserve">[PATIENT NAME] </w:t>
      </w:r>
      <w:r>
        <w:t>is a</w:t>
      </w:r>
      <w:r w:rsidRPr="001052E0">
        <w:rPr>
          <w:color w:val="FF00FF"/>
        </w:rPr>
        <w:t>[n]</w:t>
      </w:r>
      <w:r>
        <w:t xml:space="preserve"> </w:t>
      </w:r>
      <w:r>
        <w:rPr>
          <w:color w:val="FF40FF"/>
        </w:rPr>
        <w:t>[AGE]</w:t>
      </w:r>
      <w:r>
        <w:t xml:space="preserve">-year-old </w:t>
      </w:r>
      <w:r>
        <w:rPr>
          <w:color w:val="FF40FF"/>
        </w:rPr>
        <w:t xml:space="preserve">[MALE/FEMALE] </w:t>
      </w:r>
      <w:r>
        <w:t xml:space="preserve">diagnosed with </w:t>
      </w:r>
      <w:r w:rsidR="0056282B" w:rsidRPr="0056282B">
        <w:rPr>
          <w:color w:val="000000" w:themeColor="text1"/>
        </w:rPr>
        <w:t>nephropathic cystinosis.</w:t>
      </w:r>
      <w:r w:rsidR="0056282B">
        <w:rPr>
          <w:color w:val="000000" w:themeColor="text1"/>
        </w:rPr>
        <w:t xml:space="preserve"> </w:t>
      </w:r>
      <w:r>
        <w:rPr>
          <w:color w:val="FF40FF"/>
        </w:rPr>
        <w:t xml:space="preserve">[PATIENT NAME] </w:t>
      </w:r>
      <w:r>
        <w:t xml:space="preserve">has been in my care since </w:t>
      </w:r>
      <w:r>
        <w:rPr>
          <w:color w:val="FF40FF"/>
        </w:rPr>
        <w:t>[DATE]</w:t>
      </w:r>
      <w:r>
        <w:t xml:space="preserve">. The attached medical records document </w:t>
      </w:r>
      <w:r>
        <w:rPr>
          <w:color w:val="FF40FF"/>
        </w:rPr>
        <w:t>[PATIENT NAME]</w:t>
      </w:r>
      <w:r>
        <w:t>’s clinical condition and the medical necessity for treatment with PROCYSBI.</w:t>
      </w:r>
    </w:p>
    <w:p w14:paraId="7AF69E1E" w14:textId="77777777" w:rsidR="00B81F7C" w:rsidRDefault="00B81F7C">
      <w:pPr>
        <w:pStyle w:val="BodyText"/>
        <w:spacing w:before="9"/>
        <w:rPr>
          <w:sz w:val="22"/>
        </w:rPr>
      </w:pPr>
    </w:p>
    <w:p w14:paraId="621CF043" w14:textId="77777777" w:rsidR="00B81F7C" w:rsidRDefault="0096292F">
      <w:pPr>
        <w:pStyle w:val="BodyText"/>
        <w:spacing w:before="1"/>
        <w:ind w:left="100"/>
      </w:pPr>
      <w:r>
        <w:t xml:space="preserve">Additionally, </w:t>
      </w:r>
      <w:r>
        <w:rPr>
          <w:color w:val="FF40FF"/>
        </w:rPr>
        <w:t xml:space="preserve">[PATIENT NAME] </w:t>
      </w:r>
      <w:r>
        <w:t xml:space="preserve">has tried </w:t>
      </w:r>
      <w:r>
        <w:rPr>
          <w:color w:val="FF40FF"/>
        </w:rPr>
        <w:t xml:space="preserve">[PREVIOUS TREATMENTS] </w:t>
      </w:r>
      <w:r>
        <w:t xml:space="preserve">and </w:t>
      </w:r>
      <w:r>
        <w:rPr>
          <w:color w:val="FF40FF"/>
        </w:rPr>
        <w:t>[OUTCOMES]</w:t>
      </w:r>
      <w:r>
        <w:t>.</w:t>
      </w:r>
    </w:p>
    <w:p w14:paraId="0B3A34DA" w14:textId="77777777" w:rsidR="00B81F7C" w:rsidRDefault="00B81F7C">
      <w:pPr>
        <w:pStyle w:val="BodyText"/>
        <w:spacing w:before="5"/>
        <w:rPr>
          <w:sz w:val="25"/>
        </w:rPr>
      </w:pPr>
    </w:p>
    <w:p w14:paraId="530A41FF" w14:textId="1D7A2D2B" w:rsidR="00B81F7C" w:rsidRDefault="0096292F">
      <w:pPr>
        <w:pStyle w:val="BodyText"/>
        <w:spacing w:line="276" w:lineRule="auto"/>
        <w:ind w:left="100" w:right="168"/>
      </w:pPr>
      <w:r>
        <w:t xml:space="preserve">Based on the above facts, and my clinical judgment, I am confident that you will agree that PROCYSBI is medically necessary and the appropriate therapeutic choice for </w:t>
      </w:r>
      <w:r>
        <w:rPr>
          <w:color w:val="FF40FF"/>
        </w:rPr>
        <w:t>[PATIENT NAME]</w:t>
      </w:r>
      <w:r>
        <w:t>.</w:t>
      </w:r>
    </w:p>
    <w:p w14:paraId="36CE328B" w14:textId="77777777" w:rsidR="00734E73" w:rsidRDefault="00734E73">
      <w:pPr>
        <w:pStyle w:val="BodyText"/>
        <w:spacing w:line="276" w:lineRule="auto"/>
        <w:ind w:left="100" w:right="168"/>
      </w:pPr>
    </w:p>
    <w:p w14:paraId="067AB29C" w14:textId="5676480D" w:rsidR="00734E73" w:rsidRPr="001943A8" w:rsidRDefault="00CF606E">
      <w:pPr>
        <w:pStyle w:val="BodyText"/>
        <w:spacing w:line="276" w:lineRule="auto"/>
        <w:ind w:left="100" w:right="168"/>
        <w:rPr>
          <w:b/>
          <w:bCs/>
        </w:rPr>
      </w:pPr>
      <w:r w:rsidRPr="001943A8">
        <w:rPr>
          <w:b/>
          <w:bCs/>
        </w:rPr>
        <w:t>Please see</w:t>
      </w:r>
      <w:r w:rsidR="00653082">
        <w:rPr>
          <w:b/>
          <w:bCs/>
        </w:rPr>
        <w:t xml:space="preserve"> </w:t>
      </w:r>
      <w:r w:rsidRPr="001943A8">
        <w:rPr>
          <w:b/>
          <w:bCs/>
        </w:rPr>
        <w:t xml:space="preserve">Important </w:t>
      </w:r>
      <w:r w:rsidR="00220EA4" w:rsidRPr="001943A8">
        <w:rPr>
          <w:b/>
          <w:bCs/>
        </w:rPr>
        <w:t>Safety</w:t>
      </w:r>
      <w:r w:rsidR="00D81EDC">
        <w:rPr>
          <w:b/>
          <w:bCs/>
        </w:rPr>
        <w:t xml:space="preserve"> Information</w:t>
      </w:r>
      <w:r w:rsidR="00653082">
        <w:rPr>
          <w:b/>
          <w:bCs/>
        </w:rPr>
        <w:t xml:space="preserve"> </w:t>
      </w:r>
      <w:r w:rsidR="00D45D94" w:rsidRPr="001943A8">
        <w:rPr>
          <w:b/>
          <w:bCs/>
        </w:rPr>
        <w:t xml:space="preserve">below and see accompanying </w:t>
      </w:r>
      <w:hyperlink r:id="rId11" w:history="1">
        <w:r w:rsidR="00BA0A6C" w:rsidRPr="00FE3FCB">
          <w:rPr>
            <w:rStyle w:val="Hyperlink"/>
            <w:b/>
            <w:bCs/>
          </w:rPr>
          <w:t>Full Prescribing Information</w:t>
        </w:r>
      </w:hyperlink>
      <w:r w:rsidR="00BA0A6C" w:rsidRPr="001943A8">
        <w:rPr>
          <w:b/>
          <w:bCs/>
        </w:rPr>
        <w:t xml:space="preserve"> or </w:t>
      </w:r>
      <w:r w:rsidR="006E3010">
        <w:rPr>
          <w:b/>
          <w:bCs/>
        </w:rPr>
        <w:br/>
      </w:r>
      <w:r w:rsidR="00BA0A6C" w:rsidRPr="001943A8">
        <w:rPr>
          <w:b/>
          <w:bCs/>
        </w:rPr>
        <w:t xml:space="preserve">visit </w:t>
      </w:r>
      <w:hyperlink r:id="rId12" w:history="1">
        <w:r w:rsidR="00BA0A6C" w:rsidRPr="00FE3FCB">
          <w:rPr>
            <w:rStyle w:val="Hyperlink"/>
            <w:b/>
            <w:bCs/>
          </w:rPr>
          <w:t>PROCYSBIhcp.com</w:t>
        </w:r>
      </w:hyperlink>
      <w:r w:rsidR="00BA0A6C" w:rsidRPr="001943A8">
        <w:rPr>
          <w:b/>
          <w:bCs/>
        </w:rPr>
        <w:t>.</w:t>
      </w:r>
    </w:p>
    <w:p w14:paraId="4B92B352" w14:textId="77777777" w:rsidR="00B81F7C" w:rsidRDefault="00B81F7C">
      <w:pPr>
        <w:pStyle w:val="BodyText"/>
        <w:spacing w:before="7"/>
        <w:rPr>
          <w:sz w:val="23"/>
        </w:rPr>
      </w:pPr>
    </w:p>
    <w:p w14:paraId="55F628E7" w14:textId="77777777" w:rsidR="00B81F7C" w:rsidRDefault="0096292F">
      <w:pPr>
        <w:pStyle w:val="BodyText"/>
        <w:spacing w:before="1" w:line="276" w:lineRule="auto"/>
        <w:ind w:left="100" w:right="190"/>
      </w:pPr>
      <w:r>
        <w:t xml:space="preserve">Thank you for your prompt attention to this request. If you have any questions, please feel free to call me at </w:t>
      </w:r>
      <w:r>
        <w:rPr>
          <w:color w:val="FF40FF"/>
        </w:rPr>
        <w:t xml:space="preserve">[PHYSICIAN TELEPHONE NUMBER] </w:t>
      </w:r>
      <w:r>
        <w:t>to discuss.</w:t>
      </w:r>
    </w:p>
    <w:p w14:paraId="5F8C1722" w14:textId="77777777" w:rsidR="00B81F7C" w:rsidRDefault="00B81F7C">
      <w:pPr>
        <w:pStyle w:val="BodyText"/>
        <w:spacing w:before="9"/>
        <w:rPr>
          <w:sz w:val="22"/>
        </w:rPr>
      </w:pPr>
    </w:p>
    <w:p w14:paraId="1C605ECD" w14:textId="77777777" w:rsidR="00B81F7C" w:rsidRDefault="0096292F">
      <w:pPr>
        <w:pStyle w:val="BodyText"/>
        <w:spacing w:before="1"/>
        <w:ind w:left="100"/>
      </w:pPr>
      <w:r>
        <w:t>Sincerely,</w:t>
      </w:r>
    </w:p>
    <w:p w14:paraId="3821A415" w14:textId="77777777" w:rsidR="00B81F7C" w:rsidRDefault="00B81F7C">
      <w:pPr>
        <w:pStyle w:val="BodyText"/>
        <w:rPr>
          <w:sz w:val="22"/>
        </w:rPr>
      </w:pPr>
    </w:p>
    <w:p w14:paraId="7DA089A6" w14:textId="77777777" w:rsidR="00B81F7C" w:rsidRDefault="00B81F7C">
      <w:pPr>
        <w:pStyle w:val="BodyText"/>
        <w:spacing w:before="3"/>
        <w:rPr>
          <w:sz w:val="27"/>
        </w:rPr>
      </w:pPr>
    </w:p>
    <w:p w14:paraId="12CDA536" w14:textId="77777777" w:rsidR="00B81F7C" w:rsidRDefault="0096292F">
      <w:pPr>
        <w:pStyle w:val="BodyText"/>
        <w:ind w:left="100"/>
      </w:pPr>
      <w:r>
        <w:rPr>
          <w:color w:val="FF40FF"/>
        </w:rPr>
        <w:t>[PHYSICIAN NAME]</w:t>
      </w:r>
      <w:r>
        <w:t xml:space="preserve">, </w:t>
      </w:r>
      <w:r>
        <w:rPr>
          <w:color w:val="FF40FF"/>
        </w:rPr>
        <w:t>[DEGREE INITIALS] [PROVIDER IDENTIFICATION NUMBER]</w:t>
      </w:r>
    </w:p>
    <w:p w14:paraId="7647BE7D" w14:textId="77777777" w:rsidR="00B81F7C" w:rsidRDefault="00B81F7C">
      <w:pPr>
        <w:pStyle w:val="BodyText"/>
        <w:spacing w:before="10"/>
        <w:rPr>
          <w:sz w:val="25"/>
        </w:rPr>
      </w:pPr>
    </w:p>
    <w:p w14:paraId="3963B241" w14:textId="77901577" w:rsidR="00B81F7C" w:rsidRDefault="0096292F">
      <w:pPr>
        <w:pStyle w:val="BodyText"/>
        <w:spacing w:before="1" w:line="276" w:lineRule="auto"/>
        <w:ind w:left="100" w:right="6404"/>
      </w:pPr>
      <w:r>
        <w:t xml:space="preserve">Enclosures </w:t>
      </w:r>
      <w:r>
        <w:rPr>
          <w:color w:val="FF40FF"/>
        </w:rPr>
        <w:t xml:space="preserve">[attach as appropriate] </w:t>
      </w:r>
      <w:r w:rsidR="00070EE9">
        <w:rPr>
          <w:color w:val="FF40FF"/>
        </w:rPr>
        <w:br/>
      </w:r>
      <w:r>
        <w:t xml:space="preserve">Prescribing </w:t>
      </w:r>
      <w:r w:rsidR="00A96D99">
        <w:t>I</w:t>
      </w:r>
      <w:r>
        <w:t>nformation (PI)</w:t>
      </w:r>
    </w:p>
    <w:p w14:paraId="77AEC974" w14:textId="4CCB126A" w:rsidR="006E762A" w:rsidRDefault="0096292F" w:rsidP="006E762A">
      <w:pPr>
        <w:pStyle w:val="BodyText"/>
        <w:spacing w:line="229" w:lineRule="exact"/>
        <w:ind w:left="100"/>
      </w:pPr>
      <w:r>
        <w:t>Clinic notes and labs</w:t>
      </w:r>
    </w:p>
    <w:p w14:paraId="5CBDA68E" w14:textId="29B487E7" w:rsidR="000B4F30" w:rsidRDefault="000B4F30">
      <w:pPr>
        <w:rPr>
          <w:sz w:val="20"/>
          <w:szCs w:val="20"/>
        </w:rPr>
      </w:pPr>
      <w:r>
        <w:br w:type="page"/>
      </w:r>
    </w:p>
    <w:p w14:paraId="43B06BBA" w14:textId="0E4AEBBB" w:rsidR="00286B1E" w:rsidRPr="001A3DC8" w:rsidRDefault="00DC03E9" w:rsidP="00286B1E">
      <w:pPr>
        <w:rPr>
          <w:b/>
          <w:sz w:val="20"/>
          <w:szCs w:val="20"/>
        </w:rPr>
      </w:pPr>
      <w:r w:rsidRPr="001A3DC8">
        <w:rPr>
          <w:b/>
          <w:bCs/>
          <w:sz w:val="20"/>
          <w:szCs w:val="20"/>
        </w:rPr>
        <w:lastRenderedPageBreak/>
        <w:t>INDICATION and IMPORTANT SAFETY INFORMATION</w:t>
      </w:r>
    </w:p>
    <w:p w14:paraId="2546115F" w14:textId="2309A29F" w:rsidR="00286B1E" w:rsidRPr="001A3DC8" w:rsidRDefault="00286B1E" w:rsidP="00286B1E">
      <w:pPr>
        <w:rPr>
          <w:sz w:val="20"/>
          <w:szCs w:val="20"/>
        </w:rPr>
      </w:pPr>
      <w:r w:rsidRPr="001A3DC8">
        <w:rPr>
          <w:b/>
          <w:sz w:val="20"/>
          <w:szCs w:val="20"/>
        </w:rPr>
        <w:br/>
        <w:t>INDICATION</w:t>
      </w:r>
      <w:r w:rsidRPr="001A3DC8">
        <w:rPr>
          <w:sz w:val="20"/>
          <w:szCs w:val="20"/>
        </w:rPr>
        <w:br/>
        <w:t xml:space="preserve">PROCYSBI (cysteamine bitartrate) delayed-release capsules and delayed-release oral granules is a cystine-depleting agent indicated for the treatment of nephropathic cystinosis in adults and pediatric patients 1 year of age and older. </w:t>
      </w:r>
    </w:p>
    <w:p w14:paraId="0C151D4A" w14:textId="77777777" w:rsidR="00286B1E" w:rsidRPr="001A3DC8" w:rsidRDefault="00286B1E" w:rsidP="00286B1E">
      <w:pPr>
        <w:rPr>
          <w:sz w:val="20"/>
          <w:szCs w:val="20"/>
        </w:rPr>
      </w:pPr>
    </w:p>
    <w:p w14:paraId="21116711" w14:textId="571B2228" w:rsidR="00286B1E" w:rsidRPr="001A3DC8" w:rsidRDefault="00286B1E" w:rsidP="00286B1E">
      <w:pPr>
        <w:rPr>
          <w:b/>
          <w:sz w:val="20"/>
          <w:szCs w:val="20"/>
        </w:rPr>
      </w:pPr>
      <w:r w:rsidRPr="001A3DC8">
        <w:rPr>
          <w:b/>
          <w:sz w:val="20"/>
          <w:szCs w:val="20"/>
        </w:rPr>
        <w:t>IMPORTANT SAFETY INFORMATION</w:t>
      </w:r>
    </w:p>
    <w:p w14:paraId="73346D22" w14:textId="77777777" w:rsidR="00A96D99" w:rsidRDefault="00A96D99" w:rsidP="00286B1E">
      <w:pPr>
        <w:rPr>
          <w:b/>
          <w:sz w:val="20"/>
          <w:szCs w:val="20"/>
        </w:rPr>
      </w:pPr>
    </w:p>
    <w:p w14:paraId="33ABC015" w14:textId="6D947409" w:rsidR="00286B1E" w:rsidRPr="001A3DC8" w:rsidRDefault="00286B1E" w:rsidP="00286B1E">
      <w:pPr>
        <w:rPr>
          <w:b/>
          <w:sz w:val="20"/>
          <w:szCs w:val="20"/>
        </w:rPr>
      </w:pPr>
      <w:r w:rsidRPr="001A3DC8">
        <w:rPr>
          <w:b/>
          <w:sz w:val="20"/>
          <w:szCs w:val="20"/>
        </w:rPr>
        <w:t>CONTRAINDICATIONS</w:t>
      </w:r>
    </w:p>
    <w:p w14:paraId="5EF4B55A" w14:textId="77777777" w:rsidR="00286B1E" w:rsidRPr="001A3DC8" w:rsidRDefault="00286B1E" w:rsidP="00286B1E">
      <w:pPr>
        <w:pStyle w:val="ListParagraph"/>
        <w:numPr>
          <w:ilvl w:val="0"/>
          <w:numId w:val="2"/>
        </w:numPr>
        <w:spacing w:before="0" w:line="280" w:lineRule="exact"/>
        <w:rPr>
          <w:sz w:val="20"/>
          <w:szCs w:val="20"/>
        </w:rPr>
      </w:pPr>
      <w:r w:rsidRPr="001A3DC8">
        <w:rPr>
          <w:sz w:val="20"/>
          <w:szCs w:val="20"/>
        </w:rPr>
        <w:t>Patients with serious hypersensitivity reaction, including anaphylaxis to penicillamine or cysteamine.</w:t>
      </w:r>
    </w:p>
    <w:p w14:paraId="6CDE21B9" w14:textId="77777777" w:rsidR="00286B1E" w:rsidRPr="001A3DC8" w:rsidRDefault="00286B1E" w:rsidP="00286B1E">
      <w:pPr>
        <w:rPr>
          <w:sz w:val="20"/>
          <w:szCs w:val="20"/>
        </w:rPr>
      </w:pPr>
    </w:p>
    <w:p w14:paraId="20C0A2DB" w14:textId="77777777" w:rsidR="00286B1E" w:rsidRPr="001A3DC8" w:rsidRDefault="00286B1E" w:rsidP="00286B1E">
      <w:pPr>
        <w:rPr>
          <w:b/>
          <w:sz w:val="20"/>
          <w:szCs w:val="20"/>
        </w:rPr>
      </w:pPr>
      <w:r w:rsidRPr="001A3DC8">
        <w:rPr>
          <w:b/>
          <w:sz w:val="20"/>
          <w:szCs w:val="20"/>
        </w:rPr>
        <w:t>WARNINGS AND PRECAUTIONS</w:t>
      </w:r>
    </w:p>
    <w:p w14:paraId="19346DB9" w14:textId="77777777" w:rsidR="00286B1E" w:rsidRPr="001A3DC8" w:rsidRDefault="00286B1E" w:rsidP="00286B1E">
      <w:pPr>
        <w:pStyle w:val="ListParagraph"/>
        <w:numPr>
          <w:ilvl w:val="0"/>
          <w:numId w:val="2"/>
        </w:numPr>
        <w:spacing w:before="0" w:line="280" w:lineRule="exact"/>
        <w:rPr>
          <w:sz w:val="20"/>
          <w:szCs w:val="20"/>
        </w:rPr>
      </w:pPr>
      <w:r w:rsidRPr="001A3DC8">
        <w:rPr>
          <w:b/>
          <w:sz w:val="20"/>
          <w:szCs w:val="20"/>
        </w:rPr>
        <w:t xml:space="preserve">Ehlers-Danlos-like Syndrome: </w:t>
      </w:r>
      <w:r w:rsidRPr="001A3DC8">
        <w:rPr>
          <w:sz w:val="20"/>
          <w:szCs w:val="20"/>
        </w:rPr>
        <w:t>Skin and bone lesions that resemble clinical findings for Ehlers-Danlos-like syndrome have been reported in patients treated with high doses of immediate-release cysteamine bitartrate or other cysteamine salts. Monitor patients for development of skin or bone lesions and reduce PROCYSBI dosing if patients develop these lesions.</w:t>
      </w:r>
    </w:p>
    <w:p w14:paraId="0B621499" w14:textId="4E423485" w:rsidR="00286B1E" w:rsidRPr="001A3DC8" w:rsidRDefault="00286B1E" w:rsidP="00286B1E">
      <w:pPr>
        <w:pStyle w:val="ListParagraph"/>
        <w:numPr>
          <w:ilvl w:val="0"/>
          <w:numId w:val="2"/>
        </w:numPr>
        <w:spacing w:before="0" w:line="280" w:lineRule="exact"/>
        <w:rPr>
          <w:sz w:val="20"/>
          <w:szCs w:val="20"/>
        </w:rPr>
      </w:pPr>
      <w:r w:rsidRPr="001A3DC8">
        <w:rPr>
          <w:b/>
          <w:sz w:val="20"/>
          <w:szCs w:val="20"/>
        </w:rPr>
        <w:t>Skin Rash:</w:t>
      </w:r>
      <w:r w:rsidRPr="001A3DC8">
        <w:rPr>
          <w:sz w:val="20"/>
          <w:szCs w:val="20"/>
        </w:rPr>
        <w:t xml:space="preserve"> Severe skin rashes such as erythema multiforme bullosa or toxic epidermal necrolysis have been reported in patients receiving immediate-release cysteamine bitartrate. Discontinue use if severe skin rash occurs. </w:t>
      </w:r>
    </w:p>
    <w:p w14:paraId="4CBCE282" w14:textId="77777777" w:rsidR="00286B1E" w:rsidRPr="001A3DC8" w:rsidRDefault="00286B1E" w:rsidP="00286B1E">
      <w:pPr>
        <w:pStyle w:val="ListParagraph"/>
        <w:widowControl/>
        <w:numPr>
          <w:ilvl w:val="0"/>
          <w:numId w:val="2"/>
        </w:numPr>
        <w:adjustRightInd w:val="0"/>
        <w:spacing w:before="0"/>
        <w:rPr>
          <w:sz w:val="20"/>
          <w:szCs w:val="20"/>
        </w:rPr>
      </w:pPr>
      <w:r w:rsidRPr="001A3DC8">
        <w:rPr>
          <w:b/>
          <w:sz w:val="20"/>
          <w:szCs w:val="20"/>
        </w:rPr>
        <w:t xml:space="preserve">Gastrointestinal (GI) Ulcers and Bleeding: </w:t>
      </w:r>
      <w:r w:rsidRPr="001A3DC8">
        <w:rPr>
          <w:sz w:val="20"/>
          <w:szCs w:val="20"/>
        </w:rPr>
        <w:t xml:space="preserve">GI ulceration and bleeding have been reported in patients receiving </w:t>
      </w:r>
      <w:proofErr w:type="gramStart"/>
      <w:r w:rsidRPr="001A3DC8">
        <w:rPr>
          <w:sz w:val="20"/>
          <w:szCs w:val="20"/>
        </w:rPr>
        <w:t>immediate-release</w:t>
      </w:r>
      <w:proofErr w:type="gramEnd"/>
      <w:r w:rsidRPr="001A3DC8">
        <w:rPr>
          <w:sz w:val="20"/>
          <w:szCs w:val="20"/>
        </w:rPr>
        <w:t xml:space="preserve"> cysteamine bitartrate. Monitor for GI symptoms and consider decreasing the dose if severe symptoms occur.  </w:t>
      </w:r>
    </w:p>
    <w:p w14:paraId="054A8686" w14:textId="77777777" w:rsidR="00286B1E" w:rsidRPr="001A3DC8" w:rsidRDefault="00286B1E" w:rsidP="00286B1E">
      <w:pPr>
        <w:widowControl/>
        <w:numPr>
          <w:ilvl w:val="0"/>
          <w:numId w:val="2"/>
        </w:numPr>
        <w:autoSpaceDE/>
        <w:rPr>
          <w:rFonts w:eastAsia="Times New Roman" w:cs="Calibri"/>
          <w:sz w:val="20"/>
          <w:szCs w:val="20"/>
        </w:rPr>
      </w:pPr>
      <w:bookmarkStart w:id="0" w:name="_Hlk94626218"/>
      <w:r w:rsidRPr="001A3DC8">
        <w:rPr>
          <w:b/>
          <w:bCs/>
          <w:sz w:val="20"/>
          <w:szCs w:val="20"/>
        </w:rPr>
        <w:t>Fibrosing Colonopathy:</w:t>
      </w:r>
      <w:r w:rsidRPr="001A3DC8">
        <w:rPr>
          <w:rFonts w:eastAsia="Times New Roman"/>
          <w:sz w:val="20"/>
          <w:szCs w:val="20"/>
        </w:rPr>
        <w:t xml:space="preserve"> Fibrosing colonopathy has been reported with postmarketing use of PROCYSBI.  Evaluate patients with severe, persistent, and/or worsening abdominal symptoms for fibrosing colonopathy. If the diagnosis is confirmed, permanently discontinue PROCYSBI and switch to </w:t>
      </w:r>
      <w:proofErr w:type="gramStart"/>
      <w:r w:rsidRPr="001A3DC8">
        <w:rPr>
          <w:rFonts w:eastAsia="Times New Roman"/>
          <w:sz w:val="20"/>
          <w:szCs w:val="20"/>
        </w:rPr>
        <w:t>immediate-release</w:t>
      </w:r>
      <w:proofErr w:type="gramEnd"/>
      <w:r w:rsidRPr="001A3DC8">
        <w:rPr>
          <w:rFonts w:eastAsia="Times New Roman"/>
          <w:sz w:val="20"/>
          <w:szCs w:val="20"/>
        </w:rPr>
        <w:t xml:space="preserve"> cysteamine bitartrate capsules.</w:t>
      </w:r>
    </w:p>
    <w:bookmarkEnd w:id="0"/>
    <w:p w14:paraId="1717685F" w14:textId="77777777" w:rsidR="00286B1E" w:rsidRPr="001A3DC8" w:rsidRDefault="00286B1E" w:rsidP="00286B1E">
      <w:pPr>
        <w:pStyle w:val="ListParagraph"/>
        <w:numPr>
          <w:ilvl w:val="0"/>
          <w:numId w:val="2"/>
        </w:numPr>
        <w:spacing w:before="0" w:line="280" w:lineRule="exact"/>
        <w:rPr>
          <w:sz w:val="20"/>
          <w:szCs w:val="20"/>
        </w:rPr>
      </w:pPr>
      <w:r w:rsidRPr="001A3DC8">
        <w:rPr>
          <w:b/>
          <w:sz w:val="20"/>
          <w:szCs w:val="20"/>
        </w:rPr>
        <w:t xml:space="preserve">Central Nervous System (CNS) Symptoms: </w:t>
      </w:r>
      <w:r w:rsidRPr="001A3DC8">
        <w:rPr>
          <w:sz w:val="20"/>
          <w:szCs w:val="20"/>
        </w:rPr>
        <w:t xml:space="preserve">CNS symptoms such as seizures, lethargy, somnolence, depression, and encephalopathy have been associated with </w:t>
      </w:r>
      <w:proofErr w:type="gramStart"/>
      <w:r w:rsidRPr="001A3DC8">
        <w:rPr>
          <w:sz w:val="20"/>
          <w:szCs w:val="20"/>
        </w:rPr>
        <w:t>immediate-release</w:t>
      </w:r>
      <w:proofErr w:type="gramEnd"/>
      <w:r w:rsidRPr="001A3DC8">
        <w:rPr>
          <w:sz w:val="20"/>
          <w:szCs w:val="20"/>
        </w:rPr>
        <w:t xml:space="preserve"> cysteamine. Monitor for CNS symptoms; interrupt or reduce the dose for severe symptoms or those that persist or progress. </w:t>
      </w:r>
    </w:p>
    <w:p w14:paraId="780BC5FF" w14:textId="77777777" w:rsidR="00286B1E" w:rsidRPr="001A3DC8" w:rsidRDefault="00286B1E" w:rsidP="00286B1E">
      <w:pPr>
        <w:pStyle w:val="ListParagraph"/>
        <w:numPr>
          <w:ilvl w:val="0"/>
          <w:numId w:val="2"/>
        </w:numPr>
        <w:spacing w:before="0" w:line="280" w:lineRule="exact"/>
        <w:rPr>
          <w:sz w:val="20"/>
          <w:szCs w:val="20"/>
        </w:rPr>
      </w:pPr>
      <w:r w:rsidRPr="001A3DC8">
        <w:rPr>
          <w:b/>
          <w:sz w:val="20"/>
          <w:szCs w:val="20"/>
        </w:rPr>
        <w:t>Leukopenia and/or Elevated Alkaline Phosphatase Levels:</w:t>
      </w:r>
      <w:r w:rsidRPr="001A3DC8">
        <w:rPr>
          <w:i/>
          <w:sz w:val="20"/>
          <w:szCs w:val="20"/>
        </w:rPr>
        <w:t xml:space="preserve"> </w:t>
      </w:r>
      <w:r w:rsidRPr="001A3DC8">
        <w:rPr>
          <w:sz w:val="20"/>
          <w:szCs w:val="20"/>
        </w:rPr>
        <w:t>Cysteamine has been associated with reversible leukopenia and elevated alkaline phosphatase levels. Monitor white blood cell counts and alkaline phosphatase levels; decrease or discontinue the dose until values revert to normal.</w:t>
      </w:r>
    </w:p>
    <w:p w14:paraId="76B7BE65" w14:textId="1D0119A9" w:rsidR="00286B1E" w:rsidRPr="001A3DC8" w:rsidRDefault="00286B1E" w:rsidP="00286B1E">
      <w:pPr>
        <w:pStyle w:val="ListParagraph"/>
        <w:numPr>
          <w:ilvl w:val="0"/>
          <w:numId w:val="2"/>
        </w:numPr>
        <w:spacing w:before="0" w:line="280" w:lineRule="exact"/>
        <w:rPr>
          <w:i/>
          <w:sz w:val="20"/>
          <w:szCs w:val="20"/>
        </w:rPr>
      </w:pPr>
      <w:r w:rsidRPr="001A3DC8">
        <w:rPr>
          <w:b/>
          <w:sz w:val="20"/>
          <w:szCs w:val="20"/>
        </w:rPr>
        <w:t xml:space="preserve">Benign Intracranial Hypertension: </w:t>
      </w:r>
      <w:r w:rsidRPr="001A3DC8">
        <w:rPr>
          <w:sz w:val="20"/>
          <w:szCs w:val="20"/>
        </w:rPr>
        <w:t xml:space="preserve">Benign intracranial hypertension (pseudotumor cerebri; PTC) and/or papilledema has been reported in patients receiving </w:t>
      </w:r>
      <w:proofErr w:type="gramStart"/>
      <w:r w:rsidRPr="001A3DC8">
        <w:rPr>
          <w:sz w:val="20"/>
          <w:szCs w:val="20"/>
        </w:rPr>
        <w:t>immediate-release</w:t>
      </w:r>
      <w:proofErr w:type="gramEnd"/>
      <w:r w:rsidRPr="001A3DC8">
        <w:rPr>
          <w:sz w:val="20"/>
          <w:szCs w:val="20"/>
        </w:rPr>
        <w:t xml:space="preserve"> cysteamine bitartrate treatment. Monitor for signs and symptoms of PTC; interrupt or reduce the dose for signs/symptoms that </w:t>
      </w:r>
      <w:proofErr w:type="gramStart"/>
      <w:r w:rsidRPr="001A3DC8">
        <w:rPr>
          <w:sz w:val="20"/>
          <w:szCs w:val="20"/>
        </w:rPr>
        <w:t>persist, or</w:t>
      </w:r>
      <w:proofErr w:type="gramEnd"/>
      <w:r w:rsidRPr="001A3DC8">
        <w:rPr>
          <w:sz w:val="20"/>
          <w:szCs w:val="20"/>
        </w:rPr>
        <w:t xml:space="preserve"> discontinue if diagnosis is confirmed.</w:t>
      </w:r>
    </w:p>
    <w:p w14:paraId="406DF168" w14:textId="77777777" w:rsidR="00286B1E" w:rsidRPr="001A3DC8" w:rsidRDefault="00286B1E" w:rsidP="00286B1E">
      <w:pPr>
        <w:rPr>
          <w:b/>
          <w:sz w:val="20"/>
          <w:szCs w:val="20"/>
        </w:rPr>
      </w:pPr>
    </w:p>
    <w:p w14:paraId="54D2EB03" w14:textId="77777777" w:rsidR="00286B1E" w:rsidRPr="001A3DC8" w:rsidRDefault="00286B1E" w:rsidP="00286B1E">
      <w:pPr>
        <w:rPr>
          <w:b/>
          <w:sz w:val="20"/>
          <w:szCs w:val="20"/>
        </w:rPr>
      </w:pPr>
      <w:r w:rsidRPr="001A3DC8">
        <w:rPr>
          <w:b/>
          <w:sz w:val="20"/>
          <w:szCs w:val="20"/>
        </w:rPr>
        <w:t>ADVERSE REACTIONS</w:t>
      </w:r>
    </w:p>
    <w:p w14:paraId="3A8EC6D4" w14:textId="77777777" w:rsidR="00286B1E" w:rsidRPr="001A3DC8" w:rsidRDefault="00286B1E" w:rsidP="00286B1E">
      <w:pPr>
        <w:rPr>
          <w:sz w:val="20"/>
          <w:szCs w:val="20"/>
        </w:rPr>
      </w:pPr>
      <w:r w:rsidRPr="001A3DC8">
        <w:rPr>
          <w:sz w:val="20"/>
          <w:szCs w:val="20"/>
        </w:rPr>
        <w:t xml:space="preserve">The most common adverse reactions reported in PROCYSBI clinical trials </w:t>
      </w:r>
      <w:r w:rsidRPr="001A3DC8">
        <w:rPr>
          <w:i/>
          <w:sz w:val="20"/>
          <w:szCs w:val="20"/>
        </w:rPr>
        <w:t xml:space="preserve">(≥ 5%): </w:t>
      </w:r>
      <w:r w:rsidRPr="001A3DC8">
        <w:rPr>
          <w:sz w:val="20"/>
          <w:szCs w:val="20"/>
        </w:rPr>
        <w:t>were:</w:t>
      </w:r>
    </w:p>
    <w:p w14:paraId="3618BF7D" w14:textId="47A72803" w:rsidR="00286B1E" w:rsidRPr="001A3DC8" w:rsidRDefault="00286B1E" w:rsidP="00667031">
      <w:pPr>
        <w:pStyle w:val="ListParagraph"/>
        <w:numPr>
          <w:ilvl w:val="0"/>
          <w:numId w:val="3"/>
        </w:numPr>
        <w:spacing w:before="0" w:line="280" w:lineRule="exact"/>
        <w:rPr>
          <w:sz w:val="20"/>
          <w:szCs w:val="20"/>
        </w:rPr>
      </w:pPr>
      <w:r w:rsidRPr="001A3DC8">
        <w:rPr>
          <w:i/>
          <w:sz w:val="20"/>
          <w:szCs w:val="20"/>
        </w:rPr>
        <w:t xml:space="preserve">Patients 2 years of age and older previously treated with cysteamine: </w:t>
      </w:r>
      <w:r w:rsidRPr="001A3DC8">
        <w:rPr>
          <w:sz w:val="20"/>
          <w:szCs w:val="20"/>
        </w:rPr>
        <w:t>vomiting, nausea, abdominal pain, headache, conjunctivitis, influenza, gastroenteritis, nasopharyngitis, dehydration, ear infection, upper respiratory tract infection, fatigue, arthralgia, cough, and pain in extremity.</w:t>
      </w:r>
    </w:p>
    <w:p w14:paraId="6E77000A" w14:textId="3D4BB8E6" w:rsidR="00286B1E" w:rsidRPr="001A3DC8" w:rsidRDefault="00286B1E" w:rsidP="00286B1E">
      <w:pPr>
        <w:pStyle w:val="ListParagraph"/>
        <w:numPr>
          <w:ilvl w:val="0"/>
          <w:numId w:val="3"/>
        </w:numPr>
        <w:spacing w:before="0" w:line="280" w:lineRule="exact"/>
        <w:rPr>
          <w:sz w:val="20"/>
          <w:szCs w:val="20"/>
        </w:rPr>
      </w:pPr>
      <w:r w:rsidRPr="001A3DC8">
        <w:rPr>
          <w:i/>
          <w:sz w:val="20"/>
          <w:szCs w:val="20"/>
        </w:rPr>
        <w:t xml:space="preserve">Patients 1 year of age and older naïve to cysteamine treatment: </w:t>
      </w:r>
      <w:r w:rsidRPr="001A3DC8">
        <w:rPr>
          <w:sz w:val="20"/>
          <w:szCs w:val="20"/>
        </w:rPr>
        <w:t>vomiting, gastroenteritis/viral gastroenteritis, diarrhea, breath odor, nausea, electrolyte imbalance, headache.</w:t>
      </w:r>
    </w:p>
    <w:p w14:paraId="66497378" w14:textId="77777777" w:rsidR="00286B1E" w:rsidRPr="001A3DC8" w:rsidRDefault="00286B1E" w:rsidP="00286B1E">
      <w:pPr>
        <w:rPr>
          <w:sz w:val="20"/>
          <w:szCs w:val="20"/>
        </w:rPr>
      </w:pPr>
    </w:p>
    <w:p w14:paraId="2ADFBBE7" w14:textId="77777777" w:rsidR="00286B1E" w:rsidRPr="001A3DC8" w:rsidRDefault="00286B1E" w:rsidP="00286B1E">
      <w:pPr>
        <w:rPr>
          <w:b/>
          <w:sz w:val="20"/>
          <w:szCs w:val="20"/>
        </w:rPr>
      </w:pPr>
      <w:r w:rsidRPr="001A3DC8">
        <w:rPr>
          <w:b/>
          <w:sz w:val="20"/>
          <w:szCs w:val="20"/>
        </w:rPr>
        <w:t>DRUG INTERACTIONS</w:t>
      </w:r>
    </w:p>
    <w:p w14:paraId="521FDC7B" w14:textId="08445C81" w:rsidR="00223318" w:rsidRPr="006E3010" w:rsidRDefault="00286B1E" w:rsidP="006E3010">
      <w:pPr>
        <w:pStyle w:val="ListParagraph"/>
        <w:numPr>
          <w:ilvl w:val="0"/>
          <w:numId w:val="4"/>
        </w:numPr>
        <w:spacing w:before="0" w:line="280" w:lineRule="exact"/>
        <w:rPr>
          <w:sz w:val="20"/>
          <w:szCs w:val="20"/>
        </w:rPr>
      </w:pPr>
      <w:r w:rsidRPr="001A3DC8">
        <w:rPr>
          <w:sz w:val="20"/>
          <w:szCs w:val="20"/>
        </w:rPr>
        <w:t>Drugs that increase gastric pH</w:t>
      </w:r>
      <w:r w:rsidRPr="001A3DC8">
        <w:rPr>
          <w:b/>
          <w:sz w:val="20"/>
          <w:szCs w:val="20"/>
        </w:rPr>
        <w:t xml:space="preserve"> </w:t>
      </w:r>
      <w:r w:rsidRPr="001A3DC8">
        <w:rPr>
          <w:sz w:val="20"/>
          <w:szCs w:val="20"/>
        </w:rPr>
        <w:t>may alter the pharmacokinetics of cysteamine due to the premature release of cysteamine from PROCYSBI and increase WBC cystine concentration. Monitor WBC cystine concentration with concomitant use.</w:t>
      </w:r>
    </w:p>
    <w:p w14:paraId="633B0D1A" w14:textId="77777777" w:rsidR="00286B1E" w:rsidRPr="001A3DC8" w:rsidRDefault="00286B1E" w:rsidP="00286B1E">
      <w:pPr>
        <w:pStyle w:val="ListParagraph"/>
        <w:numPr>
          <w:ilvl w:val="0"/>
          <w:numId w:val="4"/>
        </w:numPr>
        <w:spacing w:before="0" w:line="280" w:lineRule="exact"/>
        <w:rPr>
          <w:sz w:val="20"/>
          <w:szCs w:val="20"/>
        </w:rPr>
      </w:pPr>
      <w:r w:rsidRPr="001A3DC8">
        <w:rPr>
          <w:sz w:val="20"/>
          <w:szCs w:val="20"/>
        </w:rPr>
        <w:t>Consumption of alcohol with PROCYSBI may increase the rate of cysteamine release and/or adversely alter the pharmacokinetic properties, as well as the effectiveness and safety of PROCYSBI.</w:t>
      </w:r>
    </w:p>
    <w:p w14:paraId="6B7296ED" w14:textId="77777777" w:rsidR="00286B1E" w:rsidRPr="001A3DC8" w:rsidRDefault="00286B1E" w:rsidP="00286B1E">
      <w:pPr>
        <w:pStyle w:val="ListParagraph"/>
        <w:numPr>
          <w:ilvl w:val="0"/>
          <w:numId w:val="4"/>
        </w:numPr>
        <w:spacing w:before="0" w:line="280" w:lineRule="exact"/>
        <w:rPr>
          <w:sz w:val="20"/>
          <w:szCs w:val="20"/>
        </w:rPr>
      </w:pPr>
      <w:r w:rsidRPr="001A3DC8">
        <w:rPr>
          <w:sz w:val="20"/>
          <w:szCs w:val="20"/>
        </w:rPr>
        <w:t>PROCYSBI can be administered with electrolyte (except bicarbonate) and mineral replacements necessary for management of Fanconi Syndrome as well as vitamin D and thyroid hormone.</w:t>
      </w:r>
    </w:p>
    <w:p w14:paraId="50A49DDB" w14:textId="77777777" w:rsidR="006E3010" w:rsidRDefault="006E3010" w:rsidP="00286B1E">
      <w:pPr>
        <w:rPr>
          <w:b/>
          <w:sz w:val="20"/>
          <w:szCs w:val="20"/>
        </w:rPr>
      </w:pPr>
    </w:p>
    <w:p w14:paraId="3D20EB88" w14:textId="77777777" w:rsidR="006E3010" w:rsidRDefault="006E3010" w:rsidP="00286B1E">
      <w:pPr>
        <w:rPr>
          <w:b/>
          <w:sz w:val="20"/>
          <w:szCs w:val="20"/>
        </w:rPr>
      </w:pPr>
    </w:p>
    <w:p w14:paraId="04176D86" w14:textId="77777777" w:rsidR="006E3010" w:rsidRDefault="006E3010" w:rsidP="00286B1E">
      <w:pPr>
        <w:rPr>
          <w:b/>
          <w:sz w:val="20"/>
          <w:szCs w:val="20"/>
        </w:rPr>
      </w:pPr>
    </w:p>
    <w:p w14:paraId="0F79108D" w14:textId="32F88BC9" w:rsidR="00286B1E" w:rsidRPr="001A3DC8" w:rsidRDefault="00286B1E" w:rsidP="00286B1E">
      <w:pPr>
        <w:rPr>
          <w:b/>
          <w:sz w:val="20"/>
          <w:szCs w:val="20"/>
        </w:rPr>
      </w:pPr>
      <w:r w:rsidRPr="001A3DC8">
        <w:rPr>
          <w:b/>
          <w:sz w:val="20"/>
          <w:szCs w:val="20"/>
        </w:rPr>
        <w:t>USE IN SPECIFIC POPULATIONS</w:t>
      </w:r>
    </w:p>
    <w:p w14:paraId="6EB2EE64" w14:textId="2A335A4D" w:rsidR="00AC26DB" w:rsidRPr="001A3DC8" w:rsidRDefault="00286B1E" w:rsidP="00AC26DB">
      <w:pPr>
        <w:pStyle w:val="ListParagraph"/>
        <w:numPr>
          <w:ilvl w:val="0"/>
          <w:numId w:val="5"/>
        </w:numPr>
        <w:spacing w:before="0" w:line="280" w:lineRule="exact"/>
        <w:rPr>
          <w:sz w:val="20"/>
          <w:szCs w:val="20"/>
        </w:rPr>
      </w:pPr>
      <w:r w:rsidRPr="001A3DC8">
        <w:rPr>
          <w:i/>
          <w:sz w:val="20"/>
          <w:szCs w:val="20"/>
        </w:rPr>
        <w:t xml:space="preserve">Lactation: </w:t>
      </w:r>
      <w:r w:rsidRPr="001A3DC8">
        <w:rPr>
          <w:sz w:val="20"/>
          <w:szCs w:val="20"/>
        </w:rPr>
        <w:t>Because of the potential risk for serious adverse reactions in breastfed children from cysteamine, breastfeeding is not recommended during treatment with PROCYSBI.</w:t>
      </w:r>
    </w:p>
    <w:p w14:paraId="42F9642F" w14:textId="77777777" w:rsidR="00AC26DB" w:rsidRPr="001A3DC8" w:rsidRDefault="00AC26DB" w:rsidP="00AC26DB">
      <w:pPr>
        <w:spacing w:line="280" w:lineRule="exact"/>
        <w:rPr>
          <w:sz w:val="20"/>
          <w:szCs w:val="20"/>
        </w:rPr>
      </w:pPr>
    </w:p>
    <w:p w14:paraId="464C2F2D" w14:textId="19DC55D5" w:rsidR="00AC26DB" w:rsidRPr="001A3DC8" w:rsidRDefault="00AC26DB" w:rsidP="00AC26DB">
      <w:pPr>
        <w:rPr>
          <w:b/>
          <w:sz w:val="20"/>
          <w:szCs w:val="20"/>
        </w:rPr>
      </w:pPr>
      <w:r w:rsidRPr="001A3DC8">
        <w:rPr>
          <w:b/>
          <w:sz w:val="20"/>
          <w:szCs w:val="20"/>
        </w:rPr>
        <w:t xml:space="preserve">Please see accompanying </w:t>
      </w:r>
      <w:hyperlink r:id="rId13" w:history="1">
        <w:r w:rsidRPr="00FE3FCB">
          <w:rPr>
            <w:rStyle w:val="Hyperlink"/>
            <w:b/>
            <w:sz w:val="20"/>
            <w:szCs w:val="20"/>
          </w:rPr>
          <w:t>Full Prescribing Information</w:t>
        </w:r>
      </w:hyperlink>
      <w:r w:rsidR="00E73B29" w:rsidRPr="001A3DC8">
        <w:rPr>
          <w:b/>
          <w:sz w:val="20"/>
          <w:szCs w:val="20"/>
        </w:rPr>
        <w:t xml:space="preserve"> or visit </w:t>
      </w:r>
      <w:hyperlink r:id="rId14" w:history="1">
        <w:r w:rsidR="00E73B29" w:rsidRPr="00FE3FCB">
          <w:rPr>
            <w:rStyle w:val="Hyperlink"/>
            <w:b/>
            <w:sz w:val="20"/>
            <w:szCs w:val="20"/>
          </w:rPr>
          <w:t>PROCYSBIhcp.com</w:t>
        </w:r>
      </w:hyperlink>
      <w:r w:rsidR="00E73B29" w:rsidRPr="001A3DC8">
        <w:rPr>
          <w:b/>
          <w:sz w:val="20"/>
          <w:szCs w:val="20"/>
        </w:rPr>
        <w:t>.</w:t>
      </w:r>
    </w:p>
    <w:p w14:paraId="7706432E" w14:textId="77777777" w:rsidR="00AC26DB" w:rsidRPr="001A3DC8" w:rsidRDefault="00AC26DB" w:rsidP="00AC26DB">
      <w:pPr>
        <w:spacing w:line="280" w:lineRule="exact"/>
        <w:rPr>
          <w:sz w:val="20"/>
          <w:szCs w:val="20"/>
        </w:rPr>
      </w:pPr>
    </w:p>
    <w:p w14:paraId="75673F8E" w14:textId="044B6F0B" w:rsidR="00DC2639" w:rsidRPr="001A3DC8" w:rsidRDefault="00F3243E" w:rsidP="00AC26DB">
      <w:pPr>
        <w:spacing w:line="280" w:lineRule="exact"/>
        <w:rPr>
          <w:sz w:val="20"/>
          <w:szCs w:val="20"/>
        </w:rPr>
      </w:pPr>
      <w:r w:rsidRPr="001A3DC8">
        <w:rPr>
          <w:sz w:val="20"/>
          <w:szCs w:val="20"/>
        </w:rPr>
        <w:br/>
      </w:r>
      <w:r w:rsidRPr="001A3DC8">
        <w:rPr>
          <w:rFonts w:ascii="Lucida Bright" w:hAnsi="Lucida Bright"/>
          <w:sz w:val="20"/>
          <w:szCs w:val="20"/>
        </w:rPr>
        <w:t>©</w:t>
      </w:r>
      <w:r w:rsidRPr="001A3DC8">
        <w:rPr>
          <w:sz w:val="20"/>
          <w:szCs w:val="20"/>
        </w:rPr>
        <w:t xml:space="preserve"> </w:t>
      </w:r>
      <w:r w:rsidR="0056282B">
        <w:rPr>
          <w:sz w:val="20"/>
          <w:szCs w:val="20"/>
        </w:rPr>
        <w:t>2025 Amgen Inc. All rights reserved.</w:t>
      </w:r>
      <w:r w:rsidR="00D23778" w:rsidRPr="001A3DC8">
        <w:rPr>
          <w:sz w:val="20"/>
          <w:szCs w:val="20"/>
        </w:rPr>
        <w:t xml:space="preserve"> </w:t>
      </w:r>
      <w:r w:rsidR="0056282B" w:rsidRPr="0056282B">
        <w:rPr>
          <w:sz w:val="20"/>
          <w:szCs w:val="20"/>
        </w:rPr>
        <w:t>USA-711-80023</w:t>
      </w:r>
      <w:r w:rsidR="0056282B">
        <w:rPr>
          <w:sz w:val="20"/>
          <w:szCs w:val="20"/>
        </w:rPr>
        <w:t xml:space="preserve"> 02/25</w:t>
      </w:r>
    </w:p>
    <w:sectPr w:rsidR="00DC2639" w:rsidRPr="001A3DC8" w:rsidSect="006E301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43AA" w14:textId="77777777" w:rsidR="00883A08" w:rsidRDefault="00883A08">
      <w:r>
        <w:separator/>
      </w:r>
    </w:p>
  </w:endnote>
  <w:endnote w:type="continuationSeparator" w:id="0">
    <w:p w14:paraId="731F92F4" w14:textId="77777777" w:rsidR="00883A08" w:rsidRDefault="0088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DC38B" w14:textId="77777777" w:rsidR="00B81F7C" w:rsidRDefault="0005748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A0C253C" wp14:editId="2EFD4318">
              <wp:simplePos x="0" y="0"/>
              <wp:positionH relativeFrom="page">
                <wp:posOffset>6743700</wp:posOffset>
              </wp:positionH>
              <wp:positionV relativeFrom="page">
                <wp:posOffset>9403715</wp:posOffset>
              </wp:positionV>
              <wp:extent cx="153670" cy="211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03B075" w14:textId="1B3538D4" w:rsidR="00B81F7C" w:rsidRDefault="00B81F7C">
                          <w:pPr>
                            <w:spacing w:before="20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C25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pt;margin-top:740.45pt;width:12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" filled="f" stroked="f">
              <v:path arrowok="t"/>
              <v:textbox inset="0,0,0,0">
                <w:txbxContent>
                  <w:p w14:paraId="4503B075" w14:textId="1B3538D4" w:rsidR="00B81F7C" w:rsidRDefault="00B81F7C">
                    <w:pPr>
                      <w:spacing w:before="20"/>
                      <w:ind w:left="60"/>
                      <w:rPr>
                        <w:rFonts w:ascii="Calibri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9F78F" w14:textId="77777777" w:rsidR="00883A08" w:rsidRDefault="00883A08">
      <w:r>
        <w:separator/>
      </w:r>
    </w:p>
  </w:footnote>
  <w:footnote w:type="continuationSeparator" w:id="0">
    <w:p w14:paraId="68AB1768" w14:textId="77777777" w:rsidR="00883A08" w:rsidRDefault="0088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511"/>
    <w:multiLevelType w:val="hybridMultilevel"/>
    <w:tmpl w:val="C4CAEE42"/>
    <w:lvl w:ilvl="0" w:tplc="1C90195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</w:rPr>
    </w:lvl>
    <w:lvl w:ilvl="1" w:tplc="53263BD8"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51EC448"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818E8702"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C6D6833E"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7086551A"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5156E434"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5382313E"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980A5812"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229E44D7"/>
    <w:multiLevelType w:val="hybridMultilevel"/>
    <w:tmpl w:val="3B1AD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319A7"/>
    <w:multiLevelType w:val="hybridMultilevel"/>
    <w:tmpl w:val="BA68D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57699"/>
    <w:multiLevelType w:val="hybridMultilevel"/>
    <w:tmpl w:val="5C7EC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F3304"/>
    <w:multiLevelType w:val="hybridMultilevel"/>
    <w:tmpl w:val="AAFAE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458070">
    <w:abstractNumId w:val="0"/>
  </w:num>
  <w:num w:numId="2" w16cid:durableId="1575628439">
    <w:abstractNumId w:val="1"/>
  </w:num>
  <w:num w:numId="3" w16cid:durableId="475024779">
    <w:abstractNumId w:val="4"/>
  </w:num>
  <w:num w:numId="4" w16cid:durableId="512913573">
    <w:abstractNumId w:val="2"/>
  </w:num>
  <w:num w:numId="5" w16cid:durableId="1253510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7C"/>
    <w:rsid w:val="000121FF"/>
    <w:rsid w:val="00051A9E"/>
    <w:rsid w:val="0005748E"/>
    <w:rsid w:val="00070EE9"/>
    <w:rsid w:val="000B3314"/>
    <w:rsid w:val="000B4F30"/>
    <w:rsid w:val="000C0601"/>
    <w:rsid w:val="000D4FB6"/>
    <w:rsid w:val="001052E0"/>
    <w:rsid w:val="0011445B"/>
    <w:rsid w:val="00133C30"/>
    <w:rsid w:val="001617BB"/>
    <w:rsid w:val="001943A8"/>
    <w:rsid w:val="001A3DC8"/>
    <w:rsid w:val="001D4AA0"/>
    <w:rsid w:val="00220EA4"/>
    <w:rsid w:val="00223318"/>
    <w:rsid w:val="00246192"/>
    <w:rsid w:val="00265BB5"/>
    <w:rsid w:val="00286B1E"/>
    <w:rsid w:val="00287A47"/>
    <w:rsid w:val="002F7091"/>
    <w:rsid w:val="00356524"/>
    <w:rsid w:val="0038394D"/>
    <w:rsid w:val="00393835"/>
    <w:rsid w:val="003943CB"/>
    <w:rsid w:val="003A5FCF"/>
    <w:rsid w:val="003E6EFE"/>
    <w:rsid w:val="00403937"/>
    <w:rsid w:val="00423DC5"/>
    <w:rsid w:val="00431450"/>
    <w:rsid w:val="004866BA"/>
    <w:rsid w:val="00490563"/>
    <w:rsid w:val="004A460A"/>
    <w:rsid w:val="004B74B1"/>
    <w:rsid w:val="005101C5"/>
    <w:rsid w:val="005179FB"/>
    <w:rsid w:val="00530AC2"/>
    <w:rsid w:val="0056282B"/>
    <w:rsid w:val="005B053A"/>
    <w:rsid w:val="005C462D"/>
    <w:rsid w:val="00600C52"/>
    <w:rsid w:val="00610ACE"/>
    <w:rsid w:val="006431D4"/>
    <w:rsid w:val="00653082"/>
    <w:rsid w:val="00664709"/>
    <w:rsid w:val="00667031"/>
    <w:rsid w:val="00680CC5"/>
    <w:rsid w:val="006B1D10"/>
    <w:rsid w:val="006C4F8A"/>
    <w:rsid w:val="006D2F5B"/>
    <w:rsid w:val="006E3010"/>
    <w:rsid w:val="006E762A"/>
    <w:rsid w:val="00715BFC"/>
    <w:rsid w:val="00725B58"/>
    <w:rsid w:val="00734E73"/>
    <w:rsid w:val="008018F1"/>
    <w:rsid w:val="00803E71"/>
    <w:rsid w:val="00883A08"/>
    <w:rsid w:val="008B3BE0"/>
    <w:rsid w:val="008C0434"/>
    <w:rsid w:val="009144F7"/>
    <w:rsid w:val="0096292F"/>
    <w:rsid w:val="0096798C"/>
    <w:rsid w:val="009A7631"/>
    <w:rsid w:val="009D0036"/>
    <w:rsid w:val="00A14EBD"/>
    <w:rsid w:val="00A8448F"/>
    <w:rsid w:val="00A96D99"/>
    <w:rsid w:val="00A976E4"/>
    <w:rsid w:val="00AC26DB"/>
    <w:rsid w:val="00B81F7C"/>
    <w:rsid w:val="00B90650"/>
    <w:rsid w:val="00BA0A6C"/>
    <w:rsid w:val="00C43156"/>
    <w:rsid w:val="00CA5810"/>
    <w:rsid w:val="00CB7844"/>
    <w:rsid w:val="00CF606E"/>
    <w:rsid w:val="00D11469"/>
    <w:rsid w:val="00D23778"/>
    <w:rsid w:val="00D24945"/>
    <w:rsid w:val="00D2774C"/>
    <w:rsid w:val="00D35291"/>
    <w:rsid w:val="00D36EC4"/>
    <w:rsid w:val="00D45D94"/>
    <w:rsid w:val="00D75FE2"/>
    <w:rsid w:val="00D7600D"/>
    <w:rsid w:val="00D81EDC"/>
    <w:rsid w:val="00D85AD4"/>
    <w:rsid w:val="00DC03E9"/>
    <w:rsid w:val="00DC2639"/>
    <w:rsid w:val="00DC7C5F"/>
    <w:rsid w:val="00E265D3"/>
    <w:rsid w:val="00E73B29"/>
    <w:rsid w:val="00EF698C"/>
    <w:rsid w:val="00F2046A"/>
    <w:rsid w:val="00F3243E"/>
    <w:rsid w:val="00F4378F"/>
    <w:rsid w:val="00F92A13"/>
    <w:rsid w:val="00FA7E93"/>
    <w:rsid w:val="00FB3DDF"/>
    <w:rsid w:val="00FE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6A90D5"/>
  <w15:docId w15:val="{7F3CB143-D8F0-2D46-B3E1-BACD1A4E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0"/>
      <w:ind w:left="60"/>
    </w:pPr>
    <w:rPr>
      <w:rFonts w:ascii="Calibri" w:eastAsia="Calibri" w:hAnsi="Calibri" w:cs="Calibri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574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4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B3BE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77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774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277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774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i.amgen.com/-/media/Project/Amgen/Repository/pi-amgen-com/Procysbi/Procysbi_fpi_english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rocysbihcp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i.amgen.com/-/media/Project/Amgen/Repository/pi-amgen-com/Procysbi/Procysbi_fpi_english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rocysbihc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D86CD59012624BBBB03EF4F8973D62" ma:contentTypeVersion="14" ma:contentTypeDescription="Create a new document." ma:contentTypeScope="" ma:versionID="1a95d24ea972ebc945a1cdd6189e8f79">
  <xsd:schema xmlns:xsd="http://www.w3.org/2001/XMLSchema" xmlns:xs="http://www.w3.org/2001/XMLSchema" xmlns:p="http://schemas.microsoft.com/office/2006/metadata/properties" xmlns:ns3="91819421-cad6-4b00-a81e-da1704e5b69b" xmlns:ns4="aff6629b-bdf3-4052-bf24-c674f37314f8" targetNamespace="http://schemas.microsoft.com/office/2006/metadata/properties" ma:root="true" ma:fieldsID="6cd7c7b30820799dcd35aeafb3254b70" ns3:_="" ns4:_="">
    <xsd:import namespace="91819421-cad6-4b00-a81e-da1704e5b69b"/>
    <xsd:import namespace="aff6629b-bdf3-4052-bf24-c674f37314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19421-cad6-4b00-a81e-da1704e5b6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629b-bdf3-4052-bf24-c674f37314f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3D2160-5A0D-4464-A15B-1F0CDD4121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6CCA6-DABA-4922-9ABE-2451A616B0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9C88E6-5AF0-4ED5-92D0-CF252BCE7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19421-cad6-4b00-a81e-da1704e5b69b"/>
    <ds:schemaRef ds:uri="aff6629b-bdf3-4052-bf24-c674f3731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P-PYB-00474 _PROCYSBI_Letter_of_Medical_Necessity_20201001.docx</vt:lpstr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P-PYB-00474 _PROCYSBI_Letter_of_Medical_Necessity_20201001.docx</dc:title>
  <dc:creator>Perugini, Nick (NYC-MOS)</dc:creator>
  <cp:lastModifiedBy>Cj Doherty (Omnicom)</cp:lastModifiedBy>
  <cp:revision>2</cp:revision>
  <dcterms:created xsi:type="dcterms:W3CDTF">2025-12-17T15:37:00Z</dcterms:created>
  <dcterms:modified xsi:type="dcterms:W3CDTF">2025-12-17T15:37:00Z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Word</vt:lpwstr>
  </property>
  <property fmtid="{D5CDD505-2E9C-101B-9397-08002B2CF9AE}" pid="4" name="LastSaved">
    <vt:filetime>2021-01-07T00:00:00Z</vt:filetime>
  </property>
  <property fmtid="{D5CDD505-2E9C-101B-9397-08002B2CF9AE}" pid="5" name="ContentTypeId">
    <vt:lpwstr>0x01010008D86CD59012624BBBB03EF4F8973D62</vt:lpwstr>
  </property>
</Properties>
</file>